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2012/4 vom 21. Dezember 2007</w:t>
      </w:r>
    </w:p>
    <w:p>
      <w:r>
        <w:t>Sg Versicherungsgericht, 2007-12-21, DE</w:t>
      </w:r>
    </w:p>
    <w:p>
      <w:r>
        <w:rPr>
          <w:b/>
        </w:rPr>
        <w:t xml:space="preserve">Quelle: </w:t>
      </w:r>
      <w:r>
        <w:t>https://mcp.opencaselaw.ch/entscheid/sg_publikationen_EL 2012_4</w:t>
      </w:r>
    </w:p>
    <w:p>
      <w:r>
        <w:t>FR: SG_VERSICHERUNGSGERICHT EL 2012/4 du 21 décembre 2007</w:t>
      </w:r>
    </w:p>
    <w:p>
      <w:r>
        <w:t>IT: SG_VERSICHERUNGSGERICHT EL 2012/4 del 21 dicembre 2007</w:t>
      </w:r>
    </w:p>
    <w:p>
      <w:pPr>
        <w:pStyle w:val="Heading2"/>
      </w:pPr>
      <w:r>
        <w:t>Regeste</w:t>
      </w:r>
    </w:p>
    <w:p>
      <w:r>
        <w:t>Art. 25 ATSGErlass einer Rückforderung. Verletzung von Melde- und Prüfungspflicht. Verneinung des guten Glaubens (Entscheid des Versicherungsgerichts des Kantons St. Gallen vom 24. Juli 2012, EL 2012/4).Vizepräsidentin Miriam Lendfers, Versicherungsrichterinnen Monika Gehrer-Hug und Karin Huber-Studerus; Gerichtsschreiber Tobias BoltEntscheid vom 24. Juli 2012in SachenA.___,Beschwerdeführer,vertreten durch Rechtsanwalt lic. iur. Christoph Anwander, Bahnhofstrasse 21, Postfach 21, 9101 Herisau,gegenSozialversicherungsanstalt des Kantons St. Gallen, Ausgleichskasse des Kantons St. Gallen, Brauerstrasse 54, Postfach, 9016 St. Gallen,Beschwerdegegnerin,betreffendErgänzungsleistung zur IV (Erlass Rückforderung)Sachverhalt:</w:t>
      </w:r>
    </w:p>
    <w:p>
      <w:pPr>
        <w:pStyle w:val="Heading2"/>
      </w:pPr>
      <w:r>
        <w:t>Erwägungen</w:t>
      </w:r>
    </w:p>
    <w:p>
      <w:r>
        <w:rPr>
          <w:b/>
        </w:rPr>
        <w:t>E. 1</w:t>
      </w:r>
    </w:p>
    <w:p>
      <w:r>
        <w:t>1.1    Die Versicherten haben gemäss Art. 28 Abs. 1 des Bundesgesetzes über den Allgemeinen Teil des Sozialversicherungsrechts (ATSG; SR 830.1) beim Vollzug der Sozialversicherungsgesetze mitzuwirken. Zu dieser allgemeinen Mitwirkungspflicht zählt auch die in Art. 31 Abs. 1 ATSG statuierte Meldepflicht, wonach die Versicherten jede wesentliche Änderung in den für eine Leistung massgebenden Verhältnissen dem zuständigen Versicherungsträger zu melden haben. Konkretisierend sieht Art. 24 der Verordnung über die Ergänzungsleistungen zur Alters-, Hinterlassenen- und Invalidenversicherung (ELV; SR 831.301) vor, dass jede Änderung der Verhältnisse des Anspruchsberechtigten oder der an der Ergänzungsleistung beteiligten Familienglieder unverzüglich mitzuteilen ist. Da die Versicherungsträger mit angemessenem Aufwand nicht von sich aus jede relevante Veränderung in jedem Fall in Erfahrung bringen können, sind sie auf entsprechende Mitteilungen der Betroffenen angewiesen, damit der ordnungsgemässe Vollzug der Gesetze gewährleistet werden kann. Da die Berechnung der jährlichen Ergänzungsleistung als Bedarfsleistung unmittelbar durch Änderungen einzelner Aufwands- oder Einnahmeposten beeinflusst wird, rechtfertigt sich auch die strengere Vorschrift von Art. 24 ELV, die eine unverzügliche Meldung vorschreibt. Die Beschwerdegegnerin hat zudem zu Recht darauf hingewiesen, dass die Versicherten regelmässig auf diese Meldepflicht aufmerksam gemacht werden. Der Beschwerde­führer war darüber auch wegen seiner Lehren absolvierenden älteren Kinder im Bild (vgl. EL-act. 2). 1.2    Die Mitwirkungspflicht umfasst auch die Pflicht,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(vgl. dazu den Entscheid EL 2003/26 des Versicherungsgerichts des Kantons St. Gallen vom 12. Februar 2004). Als Beispiel eines ohne weiteres zu erkennenden Fehlers, dessen Nichtmeldung einen gutgläubigen Leistungsbezug ausschliesst, ist etwa die Anrechnung von zu hohen Krankenkassenprämien zu nennen (Urteil des Eidgenössischen Versicherungsgerichts P 42/92 vom 3. März 1993).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2</w:t>
      </w:r>
    </w:p>
    <w:p>
      <w:r>
        <w:t>2.1    Der Beschwerdeführer hat zwar im Rahmen der Einsprache behauptet, er hätte den Lehrvertrag seiner Tochter (auf entsprechende Aufforderung der Beschwerdegegnerin im Jahr 2008 hin) eingereicht. Anhand der Akten lässt sich diese Behauptung aber nicht belegen. Weder befindet sich eine entsprechende Aufforderung der Beschwerdegegnerin bei den Akten noch ein entsprechendes Antwortschreiben des Beschwerdeführers; auch sonst geht aus den Akten nicht hervor, dass die Frage, ob und allenfalls in welcher Höhe die Tochter des Beschwerdeführers einen Lehrlingslohn bezog, vor dem Jahr 2010 Gegenstand des Verfahrens gebildet hat. Allenfalls bezog sich der Beschwerdeführer auf die Korrespondenz mit der Ausgleichskasse im März 2009, die in der internen Notiz der EL-Durchführungsstelle vom 14. Dezember 2011 (EL-act. 68) erwähnt wird. Jedenfalls kann der Beschwerdeführer nicht beweisen, dass er die Tatsache, dass seine Tochter ab August 2008 ein Erwerbseinkommen erzielte, unverzüglich gemeldet hat. Im Gegenteil: In der Einsprache stellte er sich noch klar auf den Standpunkt, stets nur auf entsprechende Aufforderungen reagiert zu haben, mithin von sich aus keine Änderungen gemeldet zu haben. Insofern liegt daher eine Verletzung der Meldepflicht vor. 2.2    Nachvollziehbar ist dagegen, dass der Beschwerdeführer davon ausging, den Lohn mit der Einsendung des Lehrvertrags an die Ausgleichskasse im März 2009 korrekt ge­meldet zu haben, war es für ihn doch wohl kaum ersichtlich, dass diese Meldung an die Ausgleichskasse nur hinsichtlich der Kinderrenten erfolgte und nicht auch als Meldung an die Ausgleichskasse als EL-Durchführungsstelle hinsichtlich der Ergänzungsleistung. Wie der zuständige Sachbearbeiter in seiner Notiz vom 14. Dezember 2011 festhielt, hätte an sich eine interne Meldung erfolgen sollen, die allerdings aus unerfindlichen Gründen unterblieben ist. Diese interne Unregelmässigkeit kann dem Beschwerdeführer nicht entgegen gehalten werden; er durfte durchaus davon ausgehen, damit seine Meldepflicht (die ihm allerdings wohl nicht bewusst war) erfüllt zu haben. Allerdings er­folgte im Nachgang an diese Meldung keine Anpassung der Ergänzungsleistung; erst im Dezember 2009 wurde der Betrag angepasst, und zwar in Form einer nicht uner­heblichen Erhöhung. Dem Beschwerdeführer hätte aber auffallen müssen, dass die Meldung eines zusätzlichen, nicht unbeachtlichen Einkommens eigentlich zu einer Reduktion der Ergänzungsleistung hätte führen müssen, oder dass ihm wenigstens hätte mitgeteilt werden müssen, weshalb diese (erwartungsgemässe) Herabsetzung nicht erfolgte. Er durfte nicht ohne Weiteres davon ausgehen, dass sich das Erwerbseinkommen seiner Tochter nicht auf seinen EL-Anspruch auswirken würde, und dass es seine Richtigkeit habe, wenn erst neun Monate später eine Anpassung bzw. Erhöhung des Anspruchs erfolgte. Ausserdem hätte ihm auch bei nur oberflächlicher Prüfung des Berechnungsblattes auffallen müssen, dass nach wie vor lediglich das Erwerbseinkommen seiner Ehefrau angerechnet worden war (vgl. EL-act. 50–3 mit 56–3). Es wäre mit anderen Worten für ihn durchaus erkennbar gewesen, dass die Anrechnung des Erwerbseinkommens seiner Tochter fälschlicherweise unterblieben war, weshalb der Bezug der unrechtmässigen bzw. zu hohen Leistungen nicht gutgläubig erfolgt ist. Der Erlass der unrechtmässig bezogenen Leistungen ist daher ausgeschlossen.</w:t>
      </w:r>
    </w:p>
    <w:p>
      <w:r>
        <w:rPr>
          <w:b/>
        </w:rPr>
        <w:t>E. 3</w:t>
      </w:r>
    </w:p>
    <w:p>
      <w:r>
        <w:t>Demnach ist die Beschwerde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